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D8533E"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6379464" w:rsidR="006D3771" w:rsidRPr="008B6B20" w:rsidRDefault="00B97671" w:rsidP="006D3771">
            <w:pPr>
              <w:jc w:val="center"/>
              <w:rPr>
                <w:sz w:val="32"/>
                <w:szCs w:val="32"/>
                <w:lang w:val="en-GB"/>
              </w:rPr>
            </w:pPr>
            <w:r>
              <w:rPr>
                <w:sz w:val="32"/>
                <w:szCs w:val="32"/>
                <w:lang w:val="en-GB"/>
              </w:rPr>
              <w:t>Slov</w:t>
            </w:r>
            <w:r w:rsidR="00F64D35">
              <w:rPr>
                <w:sz w:val="32"/>
                <w:szCs w:val="32"/>
                <w:lang w:val="en-GB"/>
              </w:rPr>
              <w:t>enia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DA1CB1C" w14:textId="0818BB8A" w:rsidR="00F97158" w:rsidRPr="00F97158" w:rsidRDefault="00F97158" w:rsidP="008B6B20">
      <w:pPr>
        <w:autoSpaceDE w:val="0"/>
        <w:autoSpaceDN w:val="0"/>
        <w:jc w:val="both"/>
        <w:rPr>
          <w:rFonts w:ascii="Calibri" w:hAnsi="Calibri" w:cs="Calibri"/>
          <w:color w:val="000000"/>
          <w:u w:val="single"/>
          <w:lang w:val="en-US"/>
        </w:rPr>
      </w:pPr>
      <w:r w:rsidRPr="00F97158">
        <w:rPr>
          <w:rFonts w:ascii="Calibri" w:hAnsi="Calibri" w:cs="Calibri"/>
          <w:color w:val="000000"/>
          <w:u w:val="single"/>
          <w:lang w:val="en-US"/>
        </w:rPr>
        <w:t>CEPEJ</w:t>
      </w:r>
    </w:p>
    <w:p w14:paraId="0AB19E8A" w14:textId="77777777" w:rsidR="00F97158" w:rsidRDefault="00F97158" w:rsidP="008B6B20">
      <w:pPr>
        <w:autoSpaceDE w:val="0"/>
        <w:autoSpaceDN w:val="0"/>
        <w:jc w:val="both"/>
        <w:rPr>
          <w:rFonts w:ascii="Calibri" w:hAnsi="Calibri" w:cs="Calibri"/>
          <w:color w:val="000000"/>
          <w:lang w:val="en-US"/>
        </w:rPr>
      </w:pPr>
    </w:p>
    <w:p w14:paraId="554C1FCF" w14:textId="177AD09D"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0651BC42" w:rsidR="008B6B20" w:rsidRPr="00574B1E" w:rsidRDefault="00000000" w:rsidP="008B6B20">
      <w:pPr>
        <w:rPr>
          <w:rFonts w:ascii="Calibri" w:hAnsi="Calibri" w:cs="Calibri"/>
          <w:lang w:val="en-US"/>
        </w:rPr>
      </w:pPr>
      <w:hyperlink r:id="rId11" w:history="1">
        <w:r w:rsidR="00F64D35">
          <w:rPr>
            <w:rStyle w:val="Hyperlink"/>
            <w:rFonts w:ascii="Calibri" w:hAnsi="Calibri" w:cs="Calibri"/>
            <w:lang w:val="en-US"/>
          </w:rPr>
          <w:t>CEPEJ Evaluation Report - Country Profiles – Slovenia</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77D192A3"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F64D35">
          <w:rPr>
            <w:rStyle w:val="Hyperlink"/>
            <w:rFonts w:ascii="Calibri" w:hAnsi="Calibri" w:cs="Calibri"/>
            <w:lang w:val="en-US"/>
          </w:rPr>
          <w:t>CEPEJ Country fiche - Scoreboard - Slovenia (2022 data)</w:t>
        </w:r>
      </w:hyperlink>
    </w:p>
    <w:p w14:paraId="06E798A9" w14:textId="77777777" w:rsidR="008B6B20"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7CB61489" w14:textId="77777777" w:rsidR="00F97158" w:rsidRDefault="00F97158" w:rsidP="008B6B20">
      <w:pPr>
        <w:autoSpaceDE w:val="0"/>
        <w:autoSpaceDN w:val="0"/>
        <w:jc w:val="both"/>
        <w:rPr>
          <w:rFonts w:ascii="Calibri" w:hAnsi="Calibri" w:cs="Calibri"/>
          <w:color w:val="000000"/>
          <w:lang w:val="en-US"/>
        </w:rPr>
      </w:pPr>
    </w:p>
    <w:p w14:paraId="561B6271" w14:textId="6B6082AF" w:rsidR="00F97158" w:rsidRPr="00F97158" w:rsidRDefault="00F97158" w:rsidP="008B6B20">
      <w:pPr>
        <w:autoSpaceDE w:val="0"/>
        <w:autoSpaceDN w:val="0"/>
        <w:jc w:val="both"/>
        <w:rPr>
          <w:rFonts w:ascii="Calibri" w:hAnsi="Calibri" w:cs="Calibri"/>
          <w:color w:val="000000"/>
          <w:u w:val="single"/>
          <w:lang w:val="en-US"/>
        </w:rPr>
      </w:pPr>
      <w:r w:rsidRPr="00F97158">
        <w:rPr>
          <w:rFonts w:ascii="Calibri" w:hAnsi="Calibri" w:cs="Calibri"/>
          <w:color w:val="000000"/>
          <w:u w:val="single"/>
          <w:lang w:val="en-US"/>
        </w:rPr>
        <w:t>CCJE/CCPE</w:t>
      </w:r>
    </w:p>
    <w:p w14:paraId="553F2BD2" w14:textId="77777777" w:rsidR="00F97158" w:rsidRDefault="00F97158" w:rsidP="008B6B20">
      <w:pPr>
        <w:autoSpaceDE w:val="0"/>
        <w:autoSpaceDN w:val="0"/>
        <w:jc w:val="both"/>
        <w:rPr>
          <w:rFonts w:ascii="Calibri" w:hAnsi="Calibri" w:cs="Calibri"/>
          <w:color w:val="000000"/>
          <w:lang w:val="en-US"/>
        </w:rPr>
      </w:pPr>
    </w:p>
    <w:p w14:paraId="551B066E" w14:textId="7784FA95" w:rsidR="00F97158" w:rsidRDefault="00F97158" w:rsidP="008B6B20">
      <w:pPr>
        <w:autoSpaceDE w:val="0"/>
        <w:autoSpaceDN w:val="0"/>
        <w:jc w:val="both"/>
        <w:rPr>
          <w:rFonts w:ascii="Calibri" w:hAnsi="Calibri" w:cs="Calibri"/>
          <w:color w:val="000000"/>
          <w:lang w:val="en-GB"/>
        </w:rPr>
      </w:pPr>
      <w:r>
        <w:rPr>
          <w:rFonts w:ascii="Calibri" w:hAnsi="Calibri" w:cs="Calibri"/>
          <w:color w:val="000000"/>
          <w:lang w:val="en-US"/>
        </w:rPr>
        <w:t xml:space="preserve">In February 2024, the Bureau of the Consultative Council of European Judges (CCJE) adopted an </w:t>
      </w:r>
      <w:hyperlink r:id="rId14" w:history="1">
        <w:r w:rsidRPr="00F97158">
          <w:rPr>
            <w:rFonts w:cstheme="minorHAnsi"/>
            <w:color w:val="007BC8"/>
            <w:u w:val="single"/>
            <w:shd w:val="clear" w:color="auto" w:fill="FFFFFF"/>
            <w:lang w:val="en-GB"/>
          </w:rPr>
          <w:t>Opinion</w:t>
        </w:r>
      </w:hyperlink>
      <w:r w:rsidRPr="00F97158">
        <w:rPr>
          <w:rFonts w:ascii="Open Sans" w:hAnsi="Open Sans" w:cs="Open Sans"/>
          <w:color w:val="161616"/>
          <w:shd w:val="clear" w:color="auto" w:fill="FFFFFF"/>
          <w:lang w:val="en-GB"/>
        </w:rPr>
        <w:t> </w:t>
      </w:r>
      <w:r>
        <w:rPr>
          <w:rFonts w:ascii="Calibri" w:hAnsi="Calibri" w:cs="Calibri"/>
          <w:color w:val="000000"/>
          <w:lang w:val="en-US"/>
        </w:rPr>
        <w:t xml:space="preserve">following a </w:t>
      </w:r>
      <w:r w:rsidRPr="00F97158">
        <w:rPr>
          <w:rFonts w:ascii="Calibri" w:hAnsi="Calibri" w:cs="Calibri"/>
          <w:color w:val="000000"/>
          <w:lang w:val="en-US"/>
        </w:rPr>
        <w:t>Protest Declaration of the Slovenian Association of Judges concerning the failure to enforce a decision of the Constitutional Court of Slovenia aimed at remedying the established unconstitutionalities regarding substantial differences between the salaries of judges and other public of</w:t>
      </w:r>
      <w:r>
        <w:rPr>
          <w:rFonts w:ascii="Calibri" w:hAnsi="Calibri" w:cs="Calibri"/>
          <w:color w:val="000000"/>
          <w:lang w:val="en-US"/>
        </w:rPr>
        <w:t xml:space="preserve">ficials. In March 2024, the Bureau of the Consultative Council of European Prosecutors (CCPE) adopted an </w:t>
      </w:r>
      <w:hyperlink r:id="rId15" w:history="1">
        <w:r w:rsidRPr="00F97158">
          <w:rPr>
            <w:rStyle w:val="Hyperlink"/>
            <w:rFonts w:ascii="Calibri" w:hAnsi="Calibri" w:cs="Calibri"/>
            <w:lang w:val="en-GB"/>
          </w:rPr>
          <w:t>Opinion</w:t>
        </w:r>
      </w:hyperlink>
      <w:r w:rsidRPr="00F97158">
        <w:rPr>
          <w:rFonts w:ascii="Calibri" w:hAnsi="Calibri" w:cs="Calibri"/>
          <w:color w:val="000000"/>
          <w:lang w:val="en-GB"/>
        </w:rPr>
        <w:t> </w:t>
      </w:r>
      <w:r>
        <w:rPr>
          <w:rFonts w:ascii="Calibri" w:hAnsi="Calibri" w:cs="Calibri"/>
          <w:color w:val="000000"/>
          <w:lang w:val="en-GB"/>
        </w:rPr>
        <w:t>on the same topic</w:t>
      </w:r>
    </w:p>
    <w:p w14:paraId="57835866" w14:textId="77777777" w:rsidR="00782F9F" w:rsidRDefault="00782F9F" w:rsidP="008B6B20">
      <w:pPr>
        <w:autoSpaceDE w:val="0"/>
        <w:autoSpaceDN w:val="0"/>
        <w:jc w:val="both"/>
        <w:rPr>
          <w:rFonts w:ascii="Calibri" w:hAnsi="Calibri" w:cs="Calibri"/>
          <w:color w:val="000000"/>
          <w:lang w:val="en-GB"/>
        </w:rPr>
      </w:pPr>
    </w:p>
    <w:p w14:paraId="76B9BE4D" w14:textId="77777777" w:rsidR="00782F9F" w:rsidRPr="00F97158" w:rsidRDefault="00782F9F" w:rsidP="008B6B20">
      <w:pPr>
        <w:autoSpaceDE w:val="0"/>
        <w:autoSpaceDN w:val="0"/>
        <w:jc w:val="both"/>
        <w:rPr>
          <w:rFonts w:ascii="Calibri" w:hAnsi="Calibri" w:cs="Calibri"/>
          <w:color w:val="000000"/>
          <w:lang w:val="en-GB"/>
        </w:rPr>
      </w:pP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5B2E5323" w14:textId="77D26D11" w:rsidR="00F97158" w:rsidRDefault="00F97158">
      <w:pPr>
        <w:rPr>
          <w:rFonts w:cs="Arial"/>
          <w:color w:val="FFFFFF" w:themeColor="background1"/>
          <w:sz w:val="22"/>
          <w:szCs w:val="22"/>
          <w:shd w:val="clear" w:color="auto" w:fill="1F3864" w:themeFill="accent1" w:themeFillShade="80"/>
          <w:lang w:val="en-US"/>
        </w:rPr>
      </w:pPr>
    </w:p>
    <w:p w14:paraId="4EC689A8" w14:textId="77777777" w:rsidR="00782F9F" w:rsidRDefault="00782F9F" w:rsidP="00782F9F">
      <w:pPr>
        <w:pStyle w:val="Default"/>
        <w:jc w:val="both"/>
        <w:rPr>
          <w:rFonts w:asciiTheme="minorHAnsi" w:eastAsiaTheme="minorEastAsia" w:hAnsiTheme="minorHAnsi" w:cstheme="minorHAnsi"/>
          <w:b/>
          <w:bCs/>
          <w:color w:val="auto"/>
          <w:sz w:val="20"/>
          <w:szCs w:val="20"/>
          <w:lang w:val="en-GB"/>
        </w:rPr>
      </w:pPr>
      <w:bookmarkStart w:id="0" w:name="_Hlk189207651"/>
      <w:bookmarkStart w:id="1" w:name="_Hlk189208189"/>
      <w:r w:rsidRPr="00C1563B">
        <w:rPr>
          <w:rFonts w:asciiTheme="minorHAnsi" w:eastAsiaTheme="minorEastAsia" w:hAnsiTheme="minorHAnsi" w:cstheme="minorHAnsi"/>
          <w:b/>
          <w:bCs/>
          <w:color w:val="auto"/>
          <w:sz w:val="20"/>
          <w:szCs w:val="20"/>
          <w:lang w:val="en-GB"/>
        </w:rPr>
        <w:lastRenderedPageBreak/>
        <w:t xml:space="preserve">Execution of judgments of the European Court of Human Rights in </w:t>
      </w:r>
      <w:r>
        <w:rPr>
          <w:rFonts w:asciiTheme="minorHAnsi" w:eastAsiaTheme="minorEastAsia" w:hAnsiTheme="minorHAnsi" w:cstheme="minorHAnsi"/>
          <w:b/>
          <w:bCs/>
          <w:color w:val="auto"/>
          <w:sz w:val="20"/>
          <w:szCs w:val="20"/>
          <w:lang w:val="en-GB"/>
        </w:rPr>
        <w:t>Slovenia</w:t>
      </w:r>
    </w:p>
    <w:p w14:paraId="319BCB46" w14:textId="77777777" w:rsidR="00782F9F" w:rsidRDefault="00782F9F" w:rsidP="00782F9F">
      <w:pPr>
        <w:pStyle w:val="Default"/>
        <w:jc w:val="both"/>
        <w:rPr>
          <w:rFonts w:asciiTheme="minorHAnsi" w:eastAsiaTheme="minorEastAsia" w:hAnsiTheme="minorHAnsi" w:cstheme="minorHAnsi"/>
          <w:b/>
          <w:bCs/>
          <w:color w:val="auto"/>
          <w:sz w:val="20"/>
          <w:szCs w:val="20"/>
          <w:lang w:val="en-GB"/>
        </w:rPr>
      </w:pPr>
    </w:p>
    <w:p w14:paraId="40D1FCB8" w14:textId="77777777" w:rsidR="00782F9F" w:rsidRPr="00FF2525" w:rsidRDefault="00782F9F" w:rsidP="00782F9F">
      <w:pPr>
        <w:pStyle w:val="Default"/>
        <w:jc w:val="both"/>
        <w:rPr>
          <w:rFonts w:cstheme="minorHAnsi"/>
          <w:b/>
          <w:bCs/>
          <w:i/>
          <w:iCs/>
          <w:sz w:val="20"/>
          <w:szCs w:val="20"/>
          <w:lang w:val="en-US"/>
        </w:rPr>
      </w:pPr>
      <w:bookmarkStart w:id="2"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6"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CoE’s Department for the Execution of Judgments can be consulted for any question on statistics: </w:t>
      </w:r>
      <w:hyperlink r:id="rId17" w:history="1">
        <w:r w:rsidRPr="003C3013">
          <w:rPr>
            <w:rStyle w:val="Hyperlink"/>
            <w:rFonts w:cstheme="minorHAnsi"/>
            <w:b/>
            <w:bCs/>
            <w:i/>
            <w:iCs/>
            <w:sz w:val="20"/>
            <w:szCs w:val="20"/>
            <w:lang w:val="en-US"/>
          </w:rPr>
          <w:t>DGI-Execution@coe.int</w:t>
        </w:r>
      </w:hyperlink>
      <w:bookmarkEnd w:id="0"/>
      <w:r w:rsidRPr="003C3013">
        <w:rPr>
          <w:rFonts w:cstheme="minorHAnsi"/>
          <w:b/>
          <w:bCs/>
          <w:i/>
          <w:iCs/>
          <w:sz w:val="20"/>
          <w:szCs w:val="20"/>
          <w:lang w:val="en-US"/>
        </w:rPr>
        <w:t>.</w:t>
      </w:r>
    </w:p>
    <w:bookmarkEnd w:id="1"/>
    <w:bookmarkEnd w:id="2"/>
    <w:p w14:paraId="723EDC04" w14:textId="77777777" w:rsidR="00D9325E" w:rsidRDefault="00D9325E">
      <w:pPr>
        <w:rPr>
          <w:rFonts w:cs="Arial"/>
          <w:color w:val="FFFFFF" w:themeColor="background1"/>
          <w:sz w:val="22"/>
          <w:szCs w:val="22"/>
          <w:shd w:val="clear" w:color="auto" w:fill="1F3864" w:themeFill="accent1" w:themeFillShade="80"/>
          <w:lang w:val="en-US"/>
        </w:rPr>
      </w:pPr>
    </w:p>
    <w:p w14:paraId="3052EBCC" w14:textId="77777777" w:rsidR="00782F9F" w:rsidRDefault="00782F9F">
      <w:pPr>
        <w:rPr>
          <w:rFonts w:cs="Arial"/>
          <w:color w:val="FFFFFF" w:themeColor="background1"/>
          <w:sz w:val="22"/>
          <w:szCs w:val="22"/>
          <w:shd w:val="clear" w:color="auto" w:fill="1F3864" w:themeFill="accent1" w:themeFillShade="80"/>
          <w:lang w:val="en-US"/>
        </w:rPr>
      </w:pPr>
    </w:p>
    <w:p w14:paraId="39810E59" w14:textId="77777777" w:rsidR="00782F9F" w:rsidRDefault="00782F9F" w:rsidP="00782F9F">
      <w:pPr>
        <w:autoSpaceDE w:val="0"/>
        <w:autoSpaceDN w:val="0"/>
        <w:adjustRightInd w:val="0"/>
        <w:jc w:val="both"/>
        <w:rPr>
          <w:rFonts w:eastAsiaTheme="minorHAnsi" w:cstheme="minorHAnsi"/>
          <w:lang w:val="en-GB"/>
        </w:rPr>
      </w:pPr>
      <w:r w:rsidRPr="009F2524">
        <w:rPr>
          <w:rFonts w:eastAsiaTheme="minorHAnsi" w:cstheme="minorHAnsi"/>
          <w:lang w:val="en-GB"/>
        </w:rPr>
        <w:t>excessively long foster care permission proceedings</w:t>
      </w:r>
      <w:r>
        <w:rPr>
          <w:rFonts w:eastAsiaTheme="minorHAnsi" w:cstheme="minorHAnsi"/>
          <w:lang w:val="en-GB"/>
        </w:rPr>
        <w:t>. In 2024, the Committee of Ministers closed the examination of the execution of this judgment. T</w:t>
      </w:r>
      <w:r w:rsidRPr="00410AF1">
        <w:rPr>
          <w:rFonts w:eastAsiaTheme="minorHAnsi" w:cstheme="minorHAnsi"/>
          <w:lang w:val="en-GB"/>
        </w:rPr>
        <w:t>he authorities have taken a number of short, mid and long-term measures aimed at increasing the number of court experts</w:t>
      </w:r>
      <w:r>
        <w:rPr>
          <w:rFonts w:eastAsiaTheme="minorHAnsi" w:cstheme="minorHAnsi"/>
          <w:lang w:val="en-GB"/>
        </w:rPr>
        <w:t xml:space="preserve"> (clinical psychologists)</w:t>
      </w:r>
      <w:r w:rsidRPr="00410AF1">
        <w:rPr>
          <w:rFonts w:eastAsiaTheme="minorHAnsi" w:cstheme="minorHAnsi"/>
          <w:lang w:val="en-GB"/>
        </w:rPr>
        <w:t>, as well as measures relating to the management of their workload.</w:t>
      </w:r>
    </w:p>
    <w:p w14:paraId="27104247" w14:textId="77777777" w:rsidR="00782F9F" w:rsidRDefault="00782F9F" w:rsidP="00782F9F">
      <w:pPr>
        <w:autoSpaceDE w:val="0"/>
        <w:autoSpaceDN w:val="0"/>
        <w:adjustRightInd w:val="0"/>
        <w:jc w:val="both"/>
        <w:rPr>
          <w:rFonts w:eastAsiaTheme="minorHAnsi" w:cstheme="minorHAnsi"/>
          <w:lang w:val="en-GB"/>
        </w:rPr>
      </w:pPr>
      <w:r>
        <w:rPr>
          <w:rFonts w:eastAsiaTheme="minorHAnsi" w:cstheme="minorHAnsi"/>
          <w:lang w:val="en-GB"/>
        </w:rPr>
        <w:t xml:space="preserve">Presentation on hudoc exec: </w:t>
      </w:r>
      <w:hyperlink r:id="rId18" w:history="1">
        <w:r w:rsidRPr="009F2524">
          <w:rPr>
            <w:rStyle w:val="Hyperlink"/>
            <w:rFonts w:eastAsiaTheme="minorHAnsi" w:cstheme="minorHAnsi"/>
            <w:lang w:val="en-GB"/>
          </w:rPr>
          <w:t>Q and R</w:t>
        </w:r>
      </w:hyperlink>
    </w:p>
    <w:p w14:paraId="35CB5E62" w14:textId="77777777" w:rsidR="00782F9F" w:rsidRDefault="00782F9F" w:rsidP="00782F9F">
      <w:pPr>
        <w:autoSpaceDE w:val="0"/>
        <w:autoSpaceDN w:val="0"/>
        <w:adjustRightInd w:val="0"/>
        <w:jc w:val="both"/>
        <w:rPr>
          <w:rFonts w:eastAsiaTheme="minorHAnsi" w:cstheme="minorHAnsi"/>
          <w:lang w:val="en-GB"/>
        </w:rPr>
      </w:pPr>
    </w:p>
    <w:p w14:paraId="55F09F1B" w14:textId="77777777" w:rsidR="00782F9F" w:rsidRDefault="00782F9F" w:rsidP="00782F9F">
      <w:pPr>
        <w:autoSpaceDE w:val="0"/>
        <w:autoSpaceDN w:val="0"/>
        <w:adjustRightInd w:val="0"/>
        <w:jc w:val="both"/>
        <w:rPr>
          <w:rFonts w:eastAsiaTheme="minorHAnsi" w:cstheme="minorHAnsi"/>
          <w:lang w:val="en-GB"/>
        </w:rPr>
      </w:pPr>
      <w:r w:rsidRPr="008A2313">
        <w:rPr>
          <w:rFonts w:eastAsiaTheme="minorHAnsi" w:cstheme="minorHAnsi"/>
          <w:u w:val="single"/>
          <w:lang w:val="en-GB"/>
        </w:rPr>
        <w:t>Pintar and Others v. Slovenia</w:t>
      </w:r>
      <w:r w:rsidRPr="009F2524">
        <w:rPr>
          <w:rFonts w:eastAsiaTheme="minorHAnsi" w:cstheme="minorHAnsi"/>
          <w:lang w:val="en-GB"/>
        </w:rPr>
        <w:t xml:space="preserve"> (49969/14) (ENHA): concerns the authorities’ failure to introduce remedies that would provide the applicants with a reasonable opportunity to challenge the Bank of Slovenia’s 2013-2014 decisions, resulting in the cancellation of all shares or subordinated bonds held by the applicants, and/or seek compensation for the cancellation of shares or bonds they held in domestic banks</w:t>
      </w:r>
      <w:r>
        <w:rPr>
          <w:rFonts w:eastAsiaTheme="minorHAnsi" w:cstheme="minorHAnsi"/>
          <w:lang w:val="en-GB"/>
        </w:rPr>
        <w:t>.</w:t>
      </w:r>
    </w:p>
    <w:p w14:paraId="0B14AFEB" w14:textId="77777777" w:rsidR="00782F9F" w:rsidRPr="008A2313" w:rsidRDefault="00782F9F" w:rsidP="00782F9F">
      <w:pPr>
        <w:autoSpaceDE w:val="0"/>
        <w:autoSpaceDN w:val="0"/>
        <w:adjustRightInd w:val="0"/>
        <w:jc w:val="both"/>
        <w:rPr>
          <w:rFonts w:eastAsiaTheme="minorHAnsi" w:cstheme="minorHAnsi"/>
          <w:lang w:val="en-GB"/>
        </w:rPr>
      </w:pPr>
      <w:r>
        <w:rPr>
          <w:rFonts w:eastAsiaTheme="minorHAnsi" w:cstheme="minorHAnsi"/>
          <w:lang w:val="en-GB"/>
        </w:rPr>
        <w:t xml:space="preserve">Presentation on hudoc exec: </w:t>
      </w:r>
      <w:hyperlink r:id="rId19" w:history="1">
        <w:r w:rsidRPr="008A2313">
          <w:rPr>
            <w:rStyle w:val="Hyperlink"/>
            <w:rFonts w:eastAsiaTheme="minorHAnsi" w:cstheme="minorHAnsi"/>
            <w:lang w:val="en-GB"/>
          </w:rPr>
          <w:t>Pintar and Others</w:t>
        </w:r>
      </w:hyperlink>
    </w:p>
    <w:p w14:paraId="33AD8D6F" w14:textId="77777777" w:rsidR="00782F9F" w:rsidRDefault="00782F9F" w:rsidP="00782F9F">
      <w:pPr>
        <w:autoSpaceDE w:val="0"/>
        <w:autoSpaceDN w:val="0"/>
        <w:adjustRightInd w:val="0"/>
        <w:jc w:val="both"/>
        <w:rPr>
          <w:rFonts w:eastAsiaTheme="minorHAnsi" w:cstheme="minorHAnsi"/>
          <w:lang w:val="en-GB"/>
        </w:rPr>
      </w:pPr>
      <w:r>
        <w:rPr>
          <w:rFonts w:eastAsiaTheme="minorHAnsi" w:cstheme="minorHAnsi"/>
          <w:lang w:val="en-GB"/>
        </w:rPr>
        <w:t xml:space="preserve">Latest decisions of the Committee of Ministers: </w:t>
      </w:r>
      <w:hyperlink r:id="rId20" w:history="1">
        <w:r w:rsidRPr="005A3BB5">
          <w:rPr>
            <w:rStyle w:val="Hyperlink"/>
            <w:rFonts w:eastAsiaTheme="minorHAnsi" w:cstheme="minorHAnsi"/>
            <w:lang w:val="en-GB"/>
          </w:rPr>
          <w:t>CM/Del/Dec(2024)1507/H46-32</w:t>
        </w:r>
      </w:hyperlink>
    </w:p>
    <w:p w14:paraId="2417A49B" w14:textId="77777777" w:rsidR="00782F9F" w:rsidRPr="009F2524" w:rsidRDefault="00782F9F" w:rsidP="00782F9F">
      <w:pPr>
        <w:autoSpaceDE w:val="0"/>
        <w:autoSpaceDN w:val="0"/>
        <w:adjustRightInd w:val="0"/>
        <w:jc w:val="both"/>
        <w:rPr>
          <w:rFonts w:eastAsiaTheme="minorHAnsi" w:cstheme="minorHAnsi"/>
          <w:lang w:val="en-GB"/>
        </w:rPr>
      </w:pPr>
      <w:r>
        <w:rPr>
          <w:rFonts w:eastAsiaTheme="minorHAnsi" w:cstheme="minorHAnsi"/>
          <w:lang w:val="en-GB"/>
        </w:rPr>
        <w:t xml:space="preserve">Latest submissions: </w:t>
      </w:r>
      <w:hyperlink r:id="rId21" w:history="1">
        <w:r w:rsidRPr="008A2313">
          <w:rPr>
            <w:rStyle w:val="Hyperlink"/>
            <w:rFonts w:eastAsiaTheme="minorHAnsi" w:cstheme="minorHAnsi"/>
            <w:lang w:val="en-GB"/>
          </w:rPr>
          <w:t>DH-DD(2024)731</w:t>
        </w:r>
      </w:hyperlink>
    </w:p>
    <w:p w14:paraId="6A3D08A3" w14:textId="77777777" w:rsidR="00782F9F" w:rsidRDefault="00782F9F">
      <w:pPr>
        <w:rPr>
          <w:rFonts w:cs="Arial"/>
          <w:color w:val="FFFFFF" w:themeColor="background1"/>
          <w:sz w:val="22"/>
          <w:szCs w:val="22"/>
          <w:shd w:val="clear" w:color="auto" w:fill="1F3864" w:themeFill="accent1" w:themeFillShade="80"/>
          <w:lang w:val="en-US"/>
        </w:rPr>
      </w:pPr>
    </w:p>
    <w:p w14:paraId="7B88BF36" w14:textId="77777777" w:rsidR="00D8533E" w:rsidRDefault="00D8533E">
      <w:pPr>
        <w:rPr>
          <w:rFonts w:cs="Arial"/>
          <w:color w:val="FFFFFF" w:themeColor="background1"/>
          <w:sz w:val="22"/>
          <w:szCs w:val="22"/>
          <w:shd w:val="clear" w:color="auto" w:fill="1F3864" w:themeFill="accent1" w:themeFillShade="80"/>
          <w:lang w:val="en-US"/>
        </w:rPr>
      </w:pPr>
    </w:p>
    <w:p w14:paraId="2BD4AED1" w14:textId="77777777" w:rsidR="00D8533E" w:rsidRPr="00D8533E" w:rsidRDefault="00D8533E" w:rsidP="00D8533E">
      <w:pPr>
        <w:rPr>
          <w:rFonts w:cs="Arial"/>
          <w:color w:val="FFFFFF" w:themeColor="background1"/>
          <w:sz w:val="22"/>
          <w:szCs w:val="22"/>
          <w:shd w:val="clear" w:color="auto" w:fill="1F3864" w:themeFill="accent1" w:themeFillShade="80"/>
        </w:rPr>
      </w:pPr>
    </w:p>
    <w:p w14:paraId="7EECF234" w14:textId="002721A4" w:rsidR="00D8533E" w:rsidRPr="00D8533E" w:rsidRDefault="00D8533E" w:rsidP="00D8533E">
      <w:pPr>
        <w:rPr>
          <w:rFonts w:eastAsiaTheme="minorHAnsi" w:cstheme="minorHAnsi"/>
          <w:lang w:val="en-GB"/>
        </w:rPr>
      </w:pPr>
      <w:r w:rsidRPr="00D8533E">
        <w:rPr>
          <w:rFonts w:eastAsiaTheme="minorHAnsi" w:cstheme="minorHAnsi"/>
          <w:lang w:val="en-GB"/>
        </w:rPr>
        <w:t>Implementation of Human Rights,</w:t>
      </w:r>
      <w:r>
        <w:rPr>
          <w:rFonts w:eastAsiaTheme="minorHAnsi" w:cstheme="minorHAnsi"/>
          <w:lang w:val="en-GB"/>
        </w:rPr>
        <w:t xml:space="preserve"> </w:t>
      </w:r>
      <w:r w:rsidRPr="00D8533E">
        <w:rPr>
          <w:rFonts w:eastAsiaTheme="minorHAnsi" w:cstheme="minorHAnsi"/>
          <w:lang w:val="en-GB"/>
        </w:rPr>
        <w:t>Justice and Legal Co-operation Standards</w:t>
      </w:r>
    </w:p>
    <w:p w14:paraId="06D48526" w14:textId="77777777" w:rsidR="00D8533E" w:rsidRDefault="00D8533E">
      <w:pPr>
        <w:rPr>
          <w:rFonts w:cs="Arial"/>
          <w:color w:val="FFFFFF" w:themeColor="background1"/>
          <w:sz w:val="22"/>
          <w:szCs w:val="22"/>
          <w:shd w:val="clear" w:color="auto" w:fill="1F3864" w:themeFill="accent1" w:themeFillShade="80"/>
          <w:lang w:val="en-US"/>
        </w:rPr>
      </w:pPr>
    </w:p>
    <w:p w14:paraId="4C34357C" w14:textId="77777777" w:rsidR="00D8533E" w:rsidRDefault="00D8533E" w:rsidP="00D8533E">
      <w:pPr>
        <w:pStyle w:val="ListParagraph"/>
        <w:numPr>
          <w:ilvl w:val="0"/>
          <w:numId w:val="13"/>
        </w:numPr>
        <w:jc w:val="both"/>
        <w:rPr>
          <w:sz w:val="22"/>
          <w:szCs w:val="22"/>
          <w:lang w:val="en-GB"/>
        </w:rPr>
      </w:pPr>
      <w:r w:rsidRPr="00EA332B">
        <w:rPr>
          <w:sz w:val="22"/>
          <w:szCs w:val="22"/>
          <w:lang w:val="en-GB"/>
        </w:rPr>
        <w:t>Enhancing Interoperability and E-Communication</w:t>
      </w:r>
    </w:p>
    <w:p w14:paraId="09F4B702" w14:textId="77777777" w:rsidR="00D8533E" w:rsidRPr="00EA332B" w:rsidRDefault="00D8533E" w:rsidP="00D8533E">
      <w:pPr>
        <w:pStyle w:val="ListParagraph"/>
        <w:jc w:val="both"/>
        <w:rPr>
          <w:sz w:val="22"/>
          <w:szCs w:val="22"/>
          <w:lang w:val="en-GB"/>
        </w:rPr>
      </w:pPr>
    </w:p>
    <w:p w14:paraId="0C1D7CDB" w14:textId="77777777" w:rsidR="00D8533E" w:rsidRPr="003B6CC9" w:rsidRDefault="00D8533E" w:rsidP="00D8533E">
      <w:pPr>
        <w:jc w:val="both"/>
        <w:rPr>
          <w:sz w:val="22"/>
          <w:szCs w:val="22"/>
          <w:lang w:val="en-GB"/>
        </w:rPr>
      </w:pPr>
      <w:r w:rsidRPr="003B6CC9">
        <w:rPr>
          <w:sz w:val="22"/>
          <w:szCs w:val="22"/>
          <w:lang w:val="en-GB"/>
        </w:rPr>
        <w:t xml:space="preserve">The 2024 EU Justice Scoreboard reveals that there is significant room for improvement, particularly in the use of electronic communication tools within State Prosecution and case management systems. The need for better integration with other areas of the judiciary is becoming </w:t>
      </w:r>
      <w:r>
        <w:rPr>
          <w:sz w:val="22"/>
          <w:szCs w:val="22"/>
          <w:lang w:val="en-GB"/>
        </w:rPr>
        <w:t>more apparent</w:t>
      </w:r>
      <w:r w:rsidRPr="003B6CC9">
        <w:rPr>
          <w:sz w:val="22"/>
          <w:szCs w:val="22"/>
          <w:lang w:val="en-GB"/>
        </w:rPr>
        <w:t>. One key issue is the lack of interoperability between existing tools, specifically iPRIS and PSEVDO</w:t>
      </w:r>
      <w:r>
        <w:rPr>
          <w:rStyle w:val="FootnoteReference"/>
          <w:rFonts w:ascii="Verdana" w:hAnsi="Verdana"/>
          <w:sz w:val="18"/>
          <w:szCs w:val="18"/>
          <w:lang w:val="en-GB" w:eastAsia="en-GB"/>
        </w:rPr>
        <w:footnoteReference w:id="1"/>
      </w:r>
      <w:r w:rsidRPr="003B6CC9">
        <w:rPr>
          <w:sz w:val="22"/>
          <w:szCs w:val="22"/>
          <w:lang w:val="en-GB"/>
        </w:rPr>
        <w:t xml:space="preserve">, which </w:t>
      </w:r>
      <w:r>
        <w:rPr>
          <w:sz w:val="22"/>
          <w:szCs w:val="22"/>
          <w:lang w:val="en-GB"/>
        </w:rPr>
        <w:t xml:space="preserve">is </w:t>
      </w:r>
      <w:r w:rsidRPr="003B6CC9">
        <w:rPr>
          <w:sz w:val="22"/>
          <w:szCs w:val="22"/>
          <w:lang w:val="en-GB"/>
        </w:rPr>
        <w:t xml:space="preserve">prerequisite for endorsement </w:t>
      </w:r>
      <w:r>
        <w:rPr>
          <w:sz w:val="22"/>
          <w:szCs w:val="22"/>
          <w:lang w:val="en-GB"/>
        </w:rPr>
        <w:t>of</w:t>
      </w:r>
      <w:r w:rsidRPr="003B6CC9">
        <w:rPr>
          <w:sz w:val="22"/>
          <w:szCs w:val="22"/>
          <w:lang w:val="en-GB"/>
        </w:rPr>
        <w:t xml:space="preserve"> fully automated processes. Another priority is facilitating online exchanges between prosecutor services and the courts, as well as enabling participation in online proceedings. </w:t>
      </w:r>
    </w:p>
    <w:p w14:paraId="624B88B7" w14:textId="77777777" w:rsidR="00D8533E" w:rsidRPr="003B6CC9" w:rsidRDefault="00D8533E" w:rsidP="00D8533E">
      <w:pPr>
        <w:jc w:val="both"/>
        <w:rPr>
          <w:sz w:val="22"/>
          <w:szCs w:val="22"/>
          <w:lang w:val="en-GB"/>
        </w:rPr>
      </w:pPr>
    </w:p>
    <w:p w14:paraId="06C8C64D" w14:textId="77777777" w:rsidR="00D8533E" w:rsidRDefault="00D8533E" w:rsidP="00D8533E">
      <w:pPr>
        <w:jc w:val="both"/>
        <w:rPr>
          <w:sz w:val="22"/>
          <w:szCs w:val="22"/>
          <w:lang w:val="en-GB"/>
        </w:rPr>
      </w:pPr>
      <w:r w:rsidRPr="003B6CC9">
        <w:rPr>
          <w:sz w:val="22"/>
          <w:szCs w:val="22"/>
          <w:lang w:val="en-GB"/>
        </w:rPr>
        <w:t>To achieve greater interoperability and enhance e-communication, particularly with police forces and the Supreme Court, updates to relevant procedural laws are essential. These updates must strike a balance between advancing digitali</w:t>
      </w:r>
      <w:r>
        <w:rPr>
          <w:sz w:val="22"/>
          <w:szCs w:val="22"/>
          <w:lang w:val="en-GB"/>
        </w:rPr>
        <w:t>s</w:t>
      </w:r>
      <w:r w:rsidRPr="003B6CC9">
        <w:rPr>
          <w:sz w:val="22"/>
          <w:szCs w:val="22"/>
          <w:lang w:val="en-GB"/>
        </w:rPr>
        <w:t xml:space="preserve">ation and safeguarding the human rights of </w:t>
      </w:r>
      <w:r>
        <w:rPr>
          <w:sz w:val="22"/>
          <w:szCs w:val="22"/>
          <w:lang w:val="en-GB"/>
        </w:rPr>
        <w:t>natural persons</w:t>
      </w:r>
      <w:r w:rsidRPr="003B6CC9">
        <w:rPr>
          <w:sz w:val="22"/>
          <w:szCs w:val="22"/>
          <w:lang w:val="en-GB"/>
        </w:rPr>
        <w:t xml:space="preserve"> involved in criminal proceedings.</w:t>
      </w:r>
    </w:p>
    <w:p w14:paraId="5F6C2813" w14:textId="77777777" w:rsidR="00D8533E" w:rsidRPr="00845896" w:rsidRDefault="00D8533E" w:rsidP="00D8533E">
      <w:pPr>
        <w:jc w:val="both"/>
        <w:rPr>
          <w:rFonts w:ascii="Verdana" w:hAnsi="Verdana"/>
          <w:b/>
          <w:bCs/>
          <w:sz w:val="18"/>
          <w:szCs w:val="18"/>
          <w:lang w:val="en-GB" w:eastAsia="en-GB"/>
        </w:rPr>
      </w:pPr>
    </w:p>
    <w:p w14:paraId="534A5245" w14:textId="77777777" w:rsidR="00D8533E" w:rsidRPr="00EA332B" w:rsidRDefault="00D8533E" w:rsidP="00D8533E">
      <w:pPr>
        <w:pStyle w:val="ListParagraph"/>
        <w:numPr>
          <w:ilvl w:val="0"/>
          <w:numId w:val="13"/>
        </w:numPr>
        <w:jc w:val="both"/>
        <w:rPr>
          <w:sz w:val="22"/>
          <w:szCs w:val="22"/>
          <w:lang w:val="en-GB"/>
        </w:rPr>
      </w:pPr>
      <w:r w:rsidRPr="00EA332B">
        <w:rPr>
          <w:sz w:val="22"/>
          <w:szCs w:val="22"/>
          <w:lang w:val="en-GB"/>
        </w:rPr>
        <w:t>Progress Delayed on New Courts Act and its Impact on Caselaw Consistency</w:t>
      </w:r>
    </w:p>
    <w:p w14:paraId="6542F416" w14:textId="77777777" w:rsidR="00D8533E" w:rsidRDefault="00D8533E" w:rsidP="00D8533E">
      <w:pPr>
        <w:spacing w:before="100" w:beforeAutospacing="1" w:after="100" w:afterAutospacing="1"/>
        <w:jc w:val="both"/>
        <w:rPr>
          <w:sz w:val="22"/>
          <w:szCs w:val="22"/>
          <w:lang w:val="en-GB"/>
        </w:rPr>
      </w:pPr>
      <w:r w:rsidRPr="003B6CC9">
        <w:rPr>
          <w:sz w:val="22"/>
          <w:szCs w:val="22"/>
          <w:lang w:val="en-GB"/>
        </w:rPr>
        <w:t xml:space="preserve">The proposed new Courts Act, which aims to merge District and Local Courts </w:t>
      </w:r>
      <w:r>
        <w:rPr>
          <w:sz w:val="22"/>
          <w:szCs w:val="22"/>
          <w:lang w:val="en-GB"/>
        </w:rPr>
        <w:t>in</w:t>
      </w:r>
      <w:r w:rsidRPr="003B6CC9">
        <w:rPr>
          <w:sz w:val="22"/>
          <w:szCs w:val="22"/>
          <w:lang w:val="en-GB"/>
        </w:rPr>
        <w:t xml:space="preserve"> 11 District units, has yet to make significant progress. As a result, challenges persist in publishing case law from both first and second instance administrative and social courts</w:t>
      </w:r>
      <w:r>
        <w:rPr>
          <w:rStyle w:val="FootnoteReference"/>
          <w:sz w:val="22"/>
          <w:szCs w:val="22"/>
          <w:lang w:val="en-GB"/>
        </w:rPr>
        <w:footnoteReference w:id="2"/>
      </w:r>
      <w:r w:rsidRPr="003B6CC9">
        <w:rPr>
          <w:sz w:val="22"/>
          <w:szCs w:val="22"/>
          <w:lang w:val="en-GB"/>
        </w:rPr>
        <w:t xml:space="preserve">, with </w:t>
      </w:r>
      <w:r>
        <w:rPr>
          <w:sz w:val="22"/>
          <w:szCs w:val="22"/>
          <w:lang w:val="en-GB"/>
        </w:rPr>
        <w:t xml:space="preserve">case law appearing </w:t>
      </w:r>
      <w:r w:rsidRPr="003B6CC9">
        <w:rPr>
          <w:sz w:val="22"/>
          <w:szCs w:val="22"/>
          <w:lang w:val="en-GB"/>
        </w:rPr>
        <w:t>inconsisten</w:t>
      </w:r>
      <w:r>
        <w:rPr>
          <w:sz w:val="22"/>
          <w:szCs w:val="22"/>
          <w:lang w:val="en-GB"/>
        </w:rPr>
        <w:t>t</w:t>
      </w:r>
      <w:r w:rsidRPr="003B6CC9">
        <w:rPr>
          <w:sz w:val="22"/>
          <w:szCs w:val="22"/>
          <w:lang w:val="en-GB"/>
        </w:rPr>
        <w:t xml:space="preserve">. This highlights a clear lack of both a cohesive methodological approach and the technological </w:t>
      </w:r>
      <w:r w:rsidRPr="003B6CC9">
        <w:rPr>
          <w:sz w:val="22"/>
          <w:szCs w:val="22"/>
          <w:lang w:val="en-GB"/>
        </w:rPr>
        <w:lastRenderedPageBreak/>
        <w:t>advancements needed to ensure consistent case law. This, in turn, severely impacts the transparency of justice for end users.</w:t>
      </w:r>
    </w:p>
    <w:p w14:paraId="549AD3B9" w14:textId="77777777" w:rsidR="00D8533E" w:rsidRPr="00EA332B" w:rsidRDefault="00D8533E" w:rsidP="00D8533E">
      <w:pPr>
        <w:pStyle w:val="ListParagraph"/>
        <w:numPr>
          <w:ilvl w:val="0"/>
          <w:numId w:val="13"/>
        </w:numPr>
        <w:jc w:val="both"/>
        <w:rPr>
          <w:sz w:val="22"/>
          <w:szCs w:val="22"/>
          <w:lang w:val="en-GB"/>
        </w:rPr>
      </w:pPr>
      <w:r w:rsidRPr="00EA332B">
        <w:rPr>
          <w:sz w:val="22"/>
          <w:szCs w:val="22"/>
          <w:lang w:val="en-GB"/>
        </w:rPr>
        <w:t>Enhancing</w:t>
      </w:r>
      <w:r w:rsidRPr="00EA332B">
        <w:rPr>
          <w:b/>
          <w:bCs/>
          <w:sz w:val="22"/>
          <w:szCs w:val="22"/>
          <w:lang w:val="en-GB"/>
        </w:rPr>
        <w:t xml:space="preserve"> </w:t>
      </w:r>
      <w:r w:rsidRPr="00EA332B">
        <w:rPr>
          <w:sz w:val="22"/>
          <w:szCs w:val="22"/>
          <w:lang w:val="en-GB"/>
        </w:rPr>
        <w:t>Judicial Efficiency and Ensuring Integrity in Caselaw Publication</w:t>
      </w:r>
    </w:p>
    <w:p w14:paraId="52B930FB" w14:textId="77777777" w:rsidR="00D8533E" w:rsidRDefault="00D8533E" w:rsidP="00D8533E">
      <w:pPr>
        <w:spacing w:before="100" w:beforeAutospacing="1" w:after="100" w:afterAutospacing="1"/>
        <w:jc w:val="both"/>
        <w:rPr>
          <w:sz w:val="22"/>
          <w:szCs w:val="22"/>
          <w:lang w:val="en-GB"/>
        </w:rPr>
      </w:pPr>
      <w:r w:rsidRPr="00EA332B">
        <w:rPr>
          <w:sz w:val="22"/>
          <w:szCs w:val="22"/>
          <w:lang w:val="en-GB"/>
        </w:rPr>
        <w:t>Courts face significant challenges in swiftly processing and publishing decisions due to the absence of fully automated systems and standardi</w:t>
      </w:r>
      <w:r>
        <w:rPr>
          <w:sz w:val="22"/>
          <w:szCs w:val="22"/>
          <w:lang w:val="en-GB"/>
        </w:rPr>
        <w:t>s</w:t>
      </w:r>
      <w:r w:rsidRPr="00EA332B">
        <w:rPr>
          <w:sz w:val="22"/>
          <w:szCs w:val="22"/>
          <w:lang w:val="en-GB"/>
        </w:rPr>
        <w:t xml:space="preserve">ed methodologies for publication. As a result, much of this work is outsourced to private publishers. With the increasing availability of intuitive AI tools, these publishers have the ability to influence the development of case law by </w:t>
      </w:r>
      <w:r>
        <w:rPr>
          <w:sz w:val="22"/>
          <w:szCs w:val="22"/>
          <w:lang w:val="en-GB"/>
        </w:rPr>
        <w:t>prioritising</w:t>
      </w:r>
      <w:r w:rsidRPr="00EA332B">
        <w:rPr>
          <w:sz w:val="22"/>
          <w:szCs w:val="22"/>
          <w:lang w:val="en-GB"/>
        </w:rPr>
        <w:t xml:space="preserve"> certain cases</w:t>
      </w:r>
      <w:r>
        <w:rPr>
          <w:sz w:val="22"/>
          <w:szCs w:val="22"/>
          <w:lang w:val="en-GB"/>
        </w:rPr>
        <w:t>.</w:t>
      </w:r>
      <w:r w:rsidRPr="00EA332B">
        <w:rPr>
          <w:sz w:val="22"/>
          <w:szCs w:val="22"/>
          <w:lang w:val="en-GB"/>
        </w:rPr>
        <w:t xml:space="preserve"> </w:t>
      </w:r>
      <w:r>
        <w:rPr>
          <w:sz w:val="22"/>
          <w:szCs w:val="22"/>
          <w:lang w:val="en-GB"/>
        </w:rPr>
        <w:t>T</w:t>
      </w:r>
      <w:r w:rsidRPr="00EA332B">
        <w:rPr>
          <w:sz w:val="22"/>
          <w:szCs w:val="22"/>
          <w:lang w:val="en-GB"/>
        </w:rPr>
        <w:t xml:space="preserve">he core responsibility for publishing decisions should </w:t>
      </w:r>
      <w:r>
        <w:rPr>
          <w:sz w:val="22"/>
          <w:szCs w:val="22"/>
          <w:lang w:val="en-GB"/>
        </w:rPr>
        <w:t>reside</w:t>
      </w:r>
      <w:r w:rsidRPr="00EA332B">
        <w:rPr>
          <w:sz w:val="22"/>
          <w:szCs w:val="22"/>
          <w:lang w:val="en-GB"/>
        </w:rPr>
        <w:t xml:space="preserve"> within the judicial system itself, while private publishers should focus on secondary sources and commentaries.</w:t>
      </w:r>
    </w:p>
    <w:p w14:paraId="5EBE5BC9" w14:textId="77777777" w:rsidR="00D8533E" w:rsidRPr="00D8533E" w:rsidRDefault="00D8533E">
      <w:pPr>
        <w:rPr>
          <w:rFonts w:cs="Arial"/>
          <w:color w:val="FFFFFF" w:themeColor="background1"/>
          <w:sz w:val="22"/>
          <w:szCs w:val="22"/>
          <w:shd w:val="clear" w:color="auto" w:fill="1F3864" w:themeFill="accent1" w:themeFillShade="80"/>
          <w:lang w:val="en-GB"/>
        </w:rPr>
      </w:pPr>
    </w:p>
    <w:p w14:paraId="1199BC2E" w14:textId="77777777" w:rsidR="00D8533E" w:rsidRDefault="00D8533E">
      <w:pPr>
        <w:rPr>
          <w:rFonts w:cs="Arial"/>
          <w:color w:val="FFFFFF" w:themeColor="background1"/>
          <w:sz w:val="22"/>
          <w:szCs w:val="22"/>
          <w:shd w:val="clear" w:color="auto" w:fill="1F3864" w:themeFill="accent1" w:themeFillShade="80"/>
          <w:lang w:val="en-US"/>
        </w:rPr>
      </w:pPr>
    </w:p>
    <w:p w14:paraId="44D2D887" w14:textId="77777777" w:rsidR="00D8533E" w:rsidRDefault="00D8533E">
      <w:pPr>
        <w:rPr>
          <w:rFonts w:cs="Arial"/>
          <w:color w:val="FFFFFF" w:themeColor="background1"/>
          <w:sz w:val="22"/>
          <w:szCs w:val="22"/>
          <w:shd w:val="clear" w:color="auto" w:fill="1F3864" w:themeFill="accent1" w:themeFillShade="80"/>
          <w:lang w:val="en-US"/>
        </w:rPr>
      </w:pPr>
    </w:p>
    <w:p w14:paraId="2657583A" w14:textId="77777777" w:rsidR="00D9325E" w:rsidRDefault="00D9325E" w:rsidP="00D9325E">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D9325E">
        <w:rPr>
          <w:rFonts w:ascii="Calibri Light" w:eastAsia="Times New Roman" w:hAnsi="Calibri Light" w:cs="Calibri Light"/>
          <w:color w:val="2F5496"/>
          <w:kern w:val="36"/>
          <w:sz w:val="32"/>
          <w:szCs w:val="32"/>
          <w:lang w:val="en-US"/>
        </w:rPr>
        <w:t>II Anti-corruption framework</w:t>
      </w:r>
      <w:bookmarkEnd w:id="3"/>
      <w:r w:rsidRPr="00D9325E">
        <w:rPr>
          <w:rFonts w:ascii="Calibri Light" w:eastAsia="Times New Roman" w:hAnsi="Calibri Light" w:cs="Calibri Light"/>
          <w:color w:val="2F5496"/>
          <w:kern w:val="36"/>
          <w:sz w:val="32"/>
          <w:szCs w:val="32"/>
          <w:lang w:val="en-US"/>
        </w:rPr>
        <w:t xml:space="preserve"> </w:t>
      </w:r>
    </w:p>
    <w:p w14:paraId="0ACD049C" w14:textId="77777777" w:rsidR="009247D3" w:rsidRPr="00D9325E" w:rsidRDefault="009247D3" w:rsidP="00D9325E">
      <w:pPr>
        <w:keepNext/>
        <w:spacing w:before="320"/>
        <w:outlineLvl w:val="0"/>
        <w:rPr>
          <w:rFonts w:ascii="Calibri Light" w:eastAsia="Times New Roman" w:hAnsi="Calibri Light" w:cs="Calibri Light"/>
          <w:color w:val="2F5496"/>
          <w:kern w:val="36"/>
          <w:sz w:val="32"/>
          <w:szCs w:val="32"/>
          <w:lang w:val="en-US"/>
        </w:rPr>
      </w:pPr>
    </w:p>
    <w:p w14:paraId="19C6A88C" w14:textId="77777777" w:rsidR="009247D3" w:rsidRDefault="009247D3" w:rsidP="009247D3">
      <w:pPr>
        <w:rPr>
          <w:lang w:val="en-US"/>
        </w:rPr>
      </w:pPr>
      <w:r>
        <w:rPr>
          <w:lang w:val="en-US"/>
        </w:rPr>
        <w:t>GRECO (28 October 2024)</w:t>
      </w:r>
    </w:p>
    <w:p w14:paraId="753CCD1C" w14:textId="77777777" w:rsidR="009247D3" w:rsidRDefault="00000000" w:rsidP="009247D3">
      <w:pPr>
        <w:rPr>
          <w:lang w:val="en-US"/>
        </w:rPr>
      </w:pPr>
      <w:hyperlink r:id="rId22" w:history="1">
        <w:r w:rsidR="009247D3" w:rsidRPr="0066239C">
          <w:rPr>
            <w:rStyle w:val="Hyperlink"/>
            <w:lang w:val="en-US"/>
          </w:rPr>
          <w:t>Addendum to the Second Compliance Report</w:t>
        </w:r>
      </w:hyperlink>
    </w:p>
    <w:p w14:paraId="3895AB9A" w14:textId="77777777" w:rsidR="009247D3" w:rsidRDefault="009247D3" w:rsidP="009247D3">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07050A20" w14:textId="77777777" w:rsidR="007E5FB7" w:rsidRDefault="007E5FB7" w:rsidP="009247D3">
      <w:pPr>
        <w:rPr>
          <w:lang w:val="en-GB"/>
        </w:rPr>
      </w:pPr>
    </w:p>
    <w:p w14:paraId="3A99D43F" w14:textId="77777777" w:rsidR="007E5FB7" w:rsidRDefault="007E5FB7" w:rsidP="009247D3">
      <w:pPr>
        <w:rPr>
          <w:lang w:val="en-GB"/>
        </w:rPr>
      </w:pPr>
    </w:p>
    <w:p w14:paraId="1C61F38F" w14:textId="77777777" w:rsidR="007E5FB7" w:rsidRDefault="007E5FB7" w:rsidP="007E5FB7">
      <w:pPr>
        <w:pStyle w:val="NoSpacing"/>
        <w:rPr>
          <w:lang w:val="en-GB"/>
        </w:rPr>
      </w:pPr>
      <w:r>
        <w:rPr>
          <w:lang w:val="en-GB"/>
        </w:rPr>
        <w:t xml:space="preserve">MONEYVAL </w:t>
      </w:r>
    </w:p>
    <w:p w14:paraId="74C96F2B" w14:textId="77777777" w:rsidR="007E5FB7" w:rsidRDefault="00000000" w:rsidP="007E5FB7">
      <w:pPr>
        <w:pStyle w:val="NoSpacing"/>
        <w:rPr>
          <w:lang w:val="en-GB"/>
        </w:rPr>
      </w:pPr>
      <w:hyperlink r:id="rId23" w:history="1">
        <w:r w:rsidR="007E5FB7" w:rsidRPr="00260C0B">
          <w:rPr>
            <w:rStyle w:val="Hyperlink"/>
            <w:lang w:val="en-GB"/>
          </w:rPr>
          <w:t>6</w:t>
        </w:r>
        <w:r w:rsidR="007E5FB7" w:rsidRPr="00260C0B">
          <w:rPr>
            <w:rStyle w:val="Hyperlink"/>
            <w:vertAlign w:val="superscript"/>
            <w:lang w:val="en-GB"/>
          </w:rPr>
          <w:t>th</w:t>
        </w:r>
        <w:r w:rsidR="007E5FB7" w:rsidRPr="00260C0B">
          <w:rPr>
            <w:rStyle w:val="Hyperlink"/>
            <w:lang w:val="en-GB"/>
          </w:rPr>
          <w:t xml:space="preserve"> Enhanced Follow-Up Report &amp; Technical Compliance Re-Rating</w:t>
        </w:r>
      </w:hyperlink>
      <w:r w:rsidR="007E5FB7">
        <w:rPr>
          <w:lang w:val="en-GB"/>
        </w:rPr>
        <w:t xml:space="preserve"> (December 2023) </w:t>
      </w:r>
    </w:p>
    <w:p w14:paraId="6EBABAA1" w14:textId="77777777" w:rsidR="007E5FB7" w:rsidRDefault="007E5FB7" w:rsidP="007E5FB7">
      <w:pPr>
        <w:pStyle w:val="NoSpacing"/>
        <w:rPr>
          <w:lang w:val="en-GB"/>
        </w:rPr>
      </w:pPr>
      <w:r>
        <w:rPr>
          <w:lang w:val="en-GB"/>
        </w:rPr>
        <w:t>6</w:t>
      </w:r>
      <w:r w:rsidRPr="00260C0B">
        <w:rPr>
          <w:vertAlign w:val="superscript"/>
          <w:lang w:val="en-GB"/>
        </w:rPr>
        <w:t>th</w:t>
      </w:r>
      <w:r>
        <w:rPr>
          <w:lang w:val="en-GB"/>
        </w:rPr>
        <w:t xml:space="preserve"> round of mutual evaluations was launched in October 2024</w:t>
      </w:r>
    </w:p>
    <w:p w14:paraId="0215E0E9" w14:textId="77777777" w:rsidR="007E5FB7" w:rsidRPr="0066239C" w:rsidRDefault="007E5FB7" w:rsidP="009247D3">
      <w:pPr>
        <w:rPr>
          <w:lang w:val="en-GB"/>
        </w:rPr>
      </w:pPr>
    </w:p>
    <w:p w14:paraId="62501EB9" w14:textId="77777777" w:rsidR="00D9325E" w:rsidRPr="009247D3" w:rsidRDefault="00D9325E" w:rsidP="00D9325E">
      <w:pPr>
        <w:keepNext/>
        <w:spacing w:before="320"/>
        <w:outlineLvl w:val="0"/>
        <w:rPr>
          <w:rFonts w:ascii="Calibri Light" w:eastAsia="Times New Roman" w:hAnsi="Calibri Light" w:cs="Calibri Light"/>
          <w:color w:val="2F5496"/>
          <w:kern w:val="36"/>
          <w:sz w:val="32"/>
          <w:szCs w:val="32"/>
          <w:lang w:val="en-GB"/>
        </w:rPr>
      </w:pPr>
    </w:p>
    <w:p w14:paraId="36B777FF" w14:textId="77777777" w:rsidR="00D9325E" w:rsidRPr="00D9325E" w:rsidRDefault="00D9325E" w:rsidP="00D9325E">
      <w:pPr>
        <w:keepNext/>
        <w:spacing w:before="320"/>
        <w:outlineLvl w:val="0"/>
        <w:rPr>
          <w:rFonts w:ascii="Calibri Light" w:eastAsia="Times New Roman" w:hAnsi="Calibri Light" w:cs="Calibri Light"/>
          <w:color w:val="2F5496"/>
          <w:kern w:val="36"/>
          <w:sz w:val="32"/>
          <w:szCs w:val="32"/>
          <w:lang w:val="en-US"/>
        </w:rPr>
      </w:pPr>
    </w:p>
    <w:p w14:paraId="378354D8" w14:textId="77777777" w:rsidR="00D9325E" w:rsidRPr="00D9325E" w:rsidRDefault="00D9325E" w:rsidP="00D9325E">
      <w:pPr>
        <w:keepNext/>
        <w:spacing w:before="320"/>
        <w:outlineLvl w:val="0"/>
        <w:rPr>
          <w:rFonts w:ascii="Calibri Light" w:eastAsia="Times New Roman" w:hAnsi="Calibri Light" w:cs="Calibri Light"/>
          <w:color w:val="2F5496"/>
          <w:kern w:val="36"/>
          <w:sz w:val="32"/>
          <w:szCs w:val="32"/>
          <w:lang w:val="en-US"/>
        </w:rPr>
      </w:pPr>
      <w:bookmarkStart w:id="4" w:name="_Toc36635845"/>
      <w:r w:rsidRPr="00D9325E">
        <w:rPr>
          <w:rFonts w:ascii="Calibri Light" w:eastAsia="Times New Roman" w:hAnsi="Calibri Light" w:cs="Calibri Light"/>
          <w:color w:val="2F5496"/>
          <w:kern w:val="36"/>
          <w:sz w:val="32"/>
          <w:szCs w:val="32"/>
          <w:lang w:val="en-US"/>
        </w:rPr>
        <w:t>III Media pluralism</w:t>
      </w:r>
      <w:bookmarkEnd w:id="4"/>
      <w:r w:rsidRPr="00D9325E">
        <w:rPr>
          <w:rFonts w:ascii="Calibri Light" w:eastAsia="Times New Roman" w:hAnsi="Calibri Light" w:cs="Calibri Light"/>
          <w:color w:val="2F5496"/>
          <w:kern w:val="36"/>
          <w:sz w:val="32"/>
          <w:szCs w:val="32"/>
          <w:lang w:val="en-US"/>
        </w:rPr>
        <w:t xml:space="preserve"> </w:t>
      </w:r>
    </w:p>
    <w:p w14:paraId="650B95FE" w14:textId="77777777" w:rsidR="00D9325E" w:rsidRPr="00D9325E" w:rsidRDefault="00D9325E" w:rsidP="00D9325E">
      <w:pPr>
        <w:keepNext/>
        <w:spacing w:before="320"/>
        <w:outlineLvl w:val="0"/>
        <w:rPr>
          <w:rFonts w:ascii="Calibri Light" w:eastAsia="Times New Roman" w:hAnsi="Calibri Light" w:cs="Calibri Light"/>
          <w:color w:val="2F5496"/>
          <w:kern w:val="36"/>
          <w:sz w:val="32"/>
          <w:szCs w:val="32"/>
          <w:lang w:val="en-US"/>
        </w:rPr>
      </w:pPr>
    </w:p>
    <w:p w14:paraId="08862E55" w14:textId="77777777" w:rsidR="00D9325E" w:rsidRPr="00D9325E" w:rsidRDefault="00D9325E" w:rsidP="00D9325E">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D9325E">
        <w:rPr>
          <w:rFonts w:ascii="Calibri Light" w:eastAsia="Times New Roman" w:hAnsi="Calibri Light" w:cs="Calibri Light"/>
          <w:color w:val="2F5496"/>
          <w:kern w:val="36"/>
          <w:sz w:val="32"/>
          <w:szCs w:val="32"/>
          <w:lang w:val="en-US"/>
        </w:rPr>
        <w:t>IV Other institutional issues related to checks and balances</w:t>
      </w:r>
      <w:bookmarkEnd w:id="5"/>
      <w:r w:rsidRPr="00D9325E">
        <w:rPr>
          <w:rFonts w:ascii="Calibri Light" w:eastAsia="Times New Roman" w:hAnsi="Calibri Light" w:cs="Calibri Light"/>
          <w:color w:val="2F5496"/>
          <w:kern w:val="36"/>
          <w:sz w:val="32"/>
          <w:szCs w:val="32"/>
          <w:lang w:val="en-US"/>
        </w:rPr>
        <w:t xml:space="preserve"> </w:t>
      </w:r>
    </w:p>
    <w:p w14:paraId="311DCC07" w14:textId="77777777" w:rsidR="00D9325E" w:rsidRPr="008B6B20" w:rsidRDefault="00D9325E">
      <w:pPr>
        <w:rPr>
          <w:rFonts w:cs="Arial"/>
          <w:color w:val="FFFFFF" w:themeColor="background1"/>
          <w:sz w:val="22"/>
          <w:szCs w:val="22"/>
          <w:shd w:val="clear" w:color="auto" w:fill="1F3864" w:themeFill="accent1" w:themeFillShade="80"/>
          <w:lang w:val="en-US"/>
        </w:rPr>
      </w:pPr>
    </w:p>
    <w:sectPr w:rsidR="00D9325E" w:rsidRPr="008B6B20" w:rsidSect="007B3B82">
      <w:footerReference w:type="default" r:id="rId24"/>
      <w:footerReference w:type="first" r:id="rId2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A1D99" w14:textId="77777777" w:rsidR="009F3595" w:rsidRDefault="009F3595" w:rsidP="00857FF1">
      <w:r>
        <w:separator/>
      </w:r>
    </w:p>
  </w:endnote>
  <w:endnote w:type="continuationSeparator" w:id="0">
    <w:p w14:paraId="6091EBDD" w14:textId="77777777" w:rsidR="009F3595" w:rsidRDefault="009F359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0A33" w14:textId="77777777" w:rsidR="009F3595" w:rsidRDefault="009F3595" w:rsidP="00857FF1">
      <w:r>
        <w:separator/>
      </w:r>
    </w:p>
  </w:footnote>
  <w:footnote w:type="continuationSeparator" w:id="0">
    <w:p w14:paraId="5F693C1F" w14:textId="77777777" w:rsidR="009F3595" w:rsidRDefault="009F3595" w:rsidP="00857FF1">
      <w:r>
        <w:continuationSeparator/>
      </w:r>
    </w:p>
  </w:footnote>
  <w:footnote w:id="1">
    <w:p w14:paraId="2598DFAE" w14:textId="77777777" w:rsidR="00D8533E" w:rsidRPr="00EA332B" w:rsidRDefault="00D8533E" w:rsidP="00D8533E">
      <w:pPr>
        <w:pStyle w:val="FootnoteText"/>
        <w:jc w:val="both"/>
        <w:rPr>
          <w:sz w:val="16"/>
          <w:szCs w:val="16"/>
          <w:lang w:val="en-GB"/>
        </w:rPr>
      </w:pPr>
      <w:r>
        <w:rPr>
          <w:rStyle w:val="FootnoteReference"/>
        </w:rPr>
        <w:footnoteRef/>
      </w:r>
      <w:r w:rsidRPr="00845896">
        <w:rPr>
          <w:lang w:val="en-GB"/>
        </w:rPr>
        <w:t xml:space="preserve"> </w:t>
      </w:r>
      <w:r w:rsidRPr="00EA332B">
        <w:rPr>
          <w:sz w:val="16"/>
          <w:szCs w:val="16"/>
          <w:lang w:val="en-GB"/>
        </w:rPr>
        <w:t>PSEVDO is the pseudoanonymisation tool used for anonymisation of court decisions before they are published, it is AI based and takes over the decisions available in iPRIS.</w:t>
      </w:r>
    </w:p>
  </w:footnote>
  <w:footnote w:id="2">
    <w:p w14:paraId="74C9EF86" w14:textId="77777777" w:rsidR="00D8533E" w:rsidRPr="00EA332B" w:rsidRDefault="00D8533E" w:rsidP="00D8533E">
      <w:pPr>
        <w:pStyle w:val="FootnoteText"/>
        <w:jc w:val="both"/>
        <w:rPr>
          <w:lang w:val="en-GB"/>
        </w:rPr>
      </w:pPr>
      <w:r w:rsidRPr="00EA332B">
        <w:rPr>
          <w:rStyle w:val="FootnoteReference"/>
          <w:sz w:val="16"/>
          <w:szCs w:val="16"/>
        </w:rPr>
        <w:footnoteRef/>
      </w:r>
      <w:r w:rsidRPr="00EA332B">
        <w:rPr>
          <w:sz w:val="16"/>
          <w:szCs w:val="16"/>
          <w:lang w:val="en-GB"/>
        </w:rPr>
        <w:t xml:space="preserve"> There are in total 60 first instance courts with one Social Court also dealing with social security cases. The Administrative Court has the status of a higher court.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4874"/>
    <w:multiLevelType w:val="hybridMultilevel"/>
    <w:tmpl w:val="C15EEB5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4"/>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3"/>
  </w:num>
  <w:num w:numId="10" w16cid:durableId="1182088185">
    <w:abstractNumId w:val="9"/>
  </w:num>
  <w:num w:numId="11" w16cid:durableId="360477782">
    <w:abstractNumId w:val="11"/>
  </w:num>
  <w:num w:numId="12" w16cid:durableId="1540388124">
    <w:abstractNumId w:val="1"/>
  </w:num>
  <w:num w:numId="13" w16cid:durableId="1624339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24AF"/>
    <w:rsid w:val="000230EA"/>
    <w:rsid w:val="00032B5D"/>
    <w:rsid w:val="000500C4"/>
    <w:rsid w:val="00057AA5"/>
    <w:rsid w:val="00062CBC"/>
    <w:rsid w:val="00064AF2"/>
    <w:rsid w:val="000707C5"/>
    <w:rsid w:val="000716F5"/>
    <w:rsid w:val="00084C0B"/>
    <w:rsid w:val="00085157"/>
    <w:rsid w:val="00095F4E"/>
    <w:rsid w:val="000A0236"/>
    <w:rsid w:val="000B223F"/>
    <w:rsid w:val="000B4984"/>
    <w:rsid w:val="000C1783"/>
    <w:rsid w:val="000E51C1"/>
    <w:rsid w:val="000F1723"/>
    <w:rsid w:val="000F73A4"/>
    <w:rsid w:val="001029E2"/>
    <w:rsid w:val="0011349E"/>
    <w:rsid w:val="00123EAE"/>
    <w:rsid w:val="0012499E"/>
    <w:rsid w:val="001257E8"/>
    <w:rsid w:val="001272D8"/>
    <w:rsid w:val="001279C3"/>
    <w:rsid w:val="001424B5"/>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170D9"/>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2F4B42"/>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3F4E0F"/>
    <w:rsid w:val="004012A1"/>
    <w:rsid w:val="004013FD"/>
    <w:rsid w:val="00405191"/>
    <w:rsid w:val="00411F51"/>
    <w:rsid w:val="00424436"/>
    <w:rsid w:val="00424AE6"/>
    <w:rsid w:val="00434E92"/>
    <w:rsid w:val="00443197"/>
    <w:rsid w:val="00457269"/>
    <w:rsid w:val="00464735"/>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C242B"/>
    <w:rsid w:val="005C317F"/>
    <w:rsid w:val="005D4AD7"/>
    <w:rsid w:val="005D7294"/>
    <w:rsid w:val="005E17CB"/>
    <w:rsid w:val="005E1A73"/>
    <w:rsid w:val="005E381E"/>
    <w:rsid w:val="00600E03"/>
    <w:rsid w:val="00602398"/>
    <w:rsid w:val="0061214D"/>
    <w:rsid w:val="00636AF8"/>
    <w:rsid w:val="00640007"/>
    <w:rsid w:val="00647D6B"/>
    <w:rsid w:val="006502C5"/>
    <w:rsid w:val="0065310F"/>
    <w:rsid w:val="00662522"/>
    <w:rsid w:val="0066401C"/>
    <w:rsid w:val="00676593"/>
    <w:rsid w:val="00680789"/>
    <w:rsid w:val="00683C6A"/>
    <w:rsid w:val="006871F9"/>
    <w:rsid w:val="006952AF"/>
    <w:rsid w:val="0069684E"/>
    <w:rsid w:val="006B6601"/>
    <w:rsid w:val="006C5AF1"/>
    <w:rsid w:val="006C758C"/>
    <w:rsid w:val="006D3771"/>
    <w:rsid w:val="006D695E"/>
    <w:rsid w:val="006F2DE3"/>
    <w:rsid w:val="00702CE9"/>
    <w:rsid w:val="007323D4"/>
    <w:rsid w:val="00734D8B"/>
    <w:rsid w:val="00742FA8"/>
    <w:rsid w:val="00744D22"/>
    <w:rsid w:val="00756962"/>
    <w:rsid w:val="0076072F"/>
    <w:rsid w:val="0076444E"/>
    <w:rsid w:val="00782F9F"/>
    <w:rsid w:val="007959C1"/>
    <w:rsid w:val="007A270E"/>
    <w:rsid w:val="007B3B82"/>
    <w:rsid w:val="007D198D"/>
    <w:rsid w:val="007D262D"/>
    <w:rsid w:val="007E2BE3"/>
    <w:rsid w:val="007E5FB7"/>
    <w:rsid w:val="007F2A4E"/>
    <w:rsid w:val="007F352D"/>
    <w:rsid w:val="008026A9"/>
    <w:rsid w:val="008131ED"/>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247D3"/>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9F3595"/>
    <w:rsid w:val="00A0524A"/>
    <w:rsid w:val="00A36CCA"/>
    <w:rsid w:val="00A42F38"/>
    <w:rsid w:val="00A43E9B"/>
    <w:rsid w:val="00A476D7"/>
    <w:rsid w:val="00A47E2D"/>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2511"/>
    <w:rsid w:val="00AF4B2D"/>
    <w:rsid w:val="00AF5605"/>
    <w:rsid w:val="00B22E3E"/>
    <w:rsid w:val="00B2424D"/>
    <w:rsid w:val="00B35012"/>
    <w:rsid w:val="00B36582"/>
    <w:rsid w:val="00B52587"/>
    <w:rsid w:val="00B807B6"/>
    <w:rsid w:val="00B97671"/>
    <w:rsid w:val="00BD211A"/>
    <w:rsid w:val="00BD26EA"/>
    <w:rsid w:val="00BE1EE0"/>
    <w:rsid w:val="00BE2ADB"/>
    <w:rsid w:val="00BF5595"/>
    <w:rsid w:val="00C003A4"/>
    <w:rsid w:val="00C06969"/>
    <w:rsid w:val="00C06D56"/>
    <w:rsid w:val="00C45527"/>
    <w:rsid w:val="00C5444D"/>
    <w:rsid w:val="00C6182C"/>
    <w:rsid w:val="00C75135"/>
    <w:rsid w:val="00C848FF"/>
    <w:rsid w:val="00C86F4B"/>
    <w:rsid w:val="00CC09C0"/>
    <w:rsid w:val="00CC0E4F"/>
    <w:rsid w:val="00CC5ABF"/>
    <w:rsid w:val="00CD7170"/>
    <w:rsid w:val="00CD7F9C"/>
    <w:rsid w:val="00CF0660"/>
    <w:rsid w:val="00CF1C6F"/>
    <w:rsid w:val="00D15B02"/>
    <w:rsid w:val="00D20872"/>
    <w:rsid w:val="00D31EA3"/>
    <w:rsid w:val="00D36177"/>
    <w:rsid w:val="00D37016"/>
    <w:rsid w:val="00D447C9"/>
    <w:rsid w:val="00D45CD6"/>
    <w:rsid w:val="00D657E4"/>
    <w:rsid w:val="00D66D1D"/>
    <w:rsid w:val="00D8533E"/>
    <w:rsid w:val="00D9325E"/>
    <w:rsid w:val="00D96E9B"/>
    <w:rsid w:val="00DA1D6A"/>
    <w:rsid w:val="00DA55DC"/>
    <w:rsid w:val="00DB1AB7"/>
    <w:rsid w:val="00DC7320"/>
    <w:rsid w:val="00DF19D6"/>
    <w:rsid w:val="00DF7C08"/>
    <w:rsid w:val="00E13798"/>
    <w:rsid w:val="00E147EE"/>
    <w:rsid w:val="00E2087D"/>
    <w:rsid w:val="00E26C9B"/>
    <w:rsid w:val="00E27691"/>
    <w:rsid w:val="00E27B28"/>
    <w:rsid w:val="00E429AF"/>
    <w:rsid w:val="00E56906"/>
    <w:rsid w:val="00E81708"/>
    <w:rsid w:val="00E90AB0"/>
    <w:rsid w:val="00EA39A6"/>
    <w:rsid w:val="00ED1080"/>
    <w:rsid w:val="00ED2EDB"/>
    <w:rsid w:val="00ED7B5B"/>
    <w:rsid w:val="00EE24A2"/>
    <w:rsid w:val="00EF5D3B"/>
    <w:rsid w:val="00F070DD"/>
    <w:rsid w:val="00F3151D"/>
    <w:rsid w:val="00F375C2"/>
    <w:rsid w:val="00F37F5B"/>
    <w:rsid w:val="00F448D1"/>
    <w:rsid w:val="00F46836"/>
    <w:rsid w:val="00F5679C"/>
    <w:rsid w:val="00F64D35"/>
    <w:rsid w:val="00F71177"/>
    <w:rsid w:val="00F7793C"/>
    <w:rsid w:val="00F8213F"/>
    <w:rsid w:val="00F847EB"/>
    <w:rsid w:val="00F91B36"/>
    <w:rsid w:val="00F97158"/>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L"/>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05361310">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059285651">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i=004-6074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hudoc.exec.coe.int/eng?i=DH-DD(2024)731E" TargetMode="External"/><Relationship Id="rId7" Type="http://schemas.openxmlformats.org/officeDocument/2006/relationships/endnotes" Target="endnotes.xml"/><Relationship Id="rId12" Type="http://schemas.openxmlformats.org/officeDocument/2006/relationships/hyperlink" Target="https://rm.coe.int/slovenia-eu-scoreboard-country-fiches-2022-data/1680b06603" TargetMode="External"/><Relationship Id="rId17" Type="http://schemas.openxmlformats.org/officeDocument/2006/relationships/hyperlink" Target="mailto:DGI-Execution@coe.in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coe.int/en/web/execution/annual-reports" TargetMode="External"/><Relationship Id="rId20" Type="http://schemas.openxmlformats.org/officeDocument/2006/relationships/hyperlink" Target="https://hudoc.exec.coe.int/eng?i=CM/Del/Dec(2024)1507/H46-32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slovenia/1680b1df8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m.coe.int/ccpe-bureau-opinion-on-slovenia-march-2024-published-en/1680aef244" TargetMode="External"/><Relationship Id="rId23" Type="http://schemas.openxmlformats.org/officeDocument/2006/relationships/hyperlink" Target="https://rm.coe.int/moneyval-2023-23-slo-5thround-6thenhfur/1680ae98c9" TargetMode="External"/><Relationship Id="rId10" Type="http://schemas.openxmlformats.org/officeDocument/2006/relationships/hyperlink" Target="http://www.coe.int/en/web/cepej/cepej-stat" TargetMode="External"/><Relationship Id="rId19" Type="http://schemas.openxmlformats.org/officeDocument/2006/relationships/hyperlink" Target="https://hudoc.exec.coe.int/eng?i=004-59299"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rm.coe.int/ccje-bureau-opinion-on-slovenia-february-2024-/1680ae8e5c" TargetMode="External"/><Relationship Id="rId22" Type="http://schemas.openxmlformats.org/officeDocument/2006/relationships/hyperlink" Target="https://rm.coe.int/fifth-evaluation-round-preventing-corruption-and-promoting-integrity-i/1680b21ad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1086</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7</cp:revision>
  <dcterms:created xsi:type="dcterms:W3CDTF">2025-01-20T14:54:00Z</dcterms:created>
  <dcterms:modified xsi:type="dcterms:W3CDTF">2025-02-03T07:49:00Z</dcterms:modified>
</cp:coreProperties>
</file>